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377E" w14:textId="77777777" w:rsidR="00777B7E" w:rsidRDefault="00777B7E">
      <w:pPr>
        <w:spacing w:after="240"/>
      </w:pPr>
    </w:p>
    <w:tbl>
      <w:tblPr>
        <w:tblW w:w="5000" w:type="pct"/>
        <w:tblCellSpacing w:w="0" w:type="dxa"/>
        <w:tblCellMar>
          <w:left w:w="0" w:type="dxa"/>
          <w:right w:w="0" w:type="dxa"/>
        </w:tblCellMar>
        <w:tblLook w:val="04A0" w:firstRow="1" w:lastRow="0" w:firstColumn="1" w:lastColumn="0" w:noHBand="0" w:noVBand="1"/>
      </w:tblPr>
      <w:tblGrid>
        <w:gridCol w:w="4550"/>
        <w:gridCol w:w="6826"/>
      </w:tblGrid>
      <w:tr w:rsidR="00777B7E" w14:paraId="17675642" w14:textId="77777777">
        <w:trPr>
          <w:tblCellSpacing w:w="0" w:type="dxa"/>
        </w:trPr>
        <w:tc>
          <w:tcPr>
            <w:tcW w:w="2000" w:type="pct"/>
            <w:tcMar>
              <w:top w:w="0" w:type="dxa"/>
              <w:left w:w="0" w:type="dxa"/>
              <w:bottom w:w="0" w:type="dxa"/>
              <w:right w:w="0" w:type="dxa"/>
            </w:tcMar>
            <w:hideMark/>
          </w:tcPr>
          <w:p w14:paraId="538EC1A0" w14:textId="77777777" w:rsidR="00777B7E" w:rsidRDefault="00000000">
            <w:pPr>
              <w:rPr>
                <w:color w:val="000000"/>
              </w:rPr>
            </w:pPr>
            <w:r>
              <w:rPr>
                <w:noProof/>
                <w:color w:val="000000"/>
              </w:rPr>
              <w:drawing>
                <wp:inline distT="0" distB="0" distL="0" distR="0" wp14:anchorId="15C93655" wp14:editId="633618EB">
                  <wp:extent cx="2381250" cy="16192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2381250" cy="1619250"/>
                          </a:xfrm>
                          <a:prstGeom prst="rect">
                            <a:avLst/>
                          </a:prstGeom>
                        </pic:spPr>
                      </pic:pic>
                    </a:graphicData>
                  </a:graphic>
                </wp:inline>
              </w:drawing>
            </w:r>
          </w:p>
        </w:tc>
        <w:tc>
          <w:tcPr>
            <w:tcW w:w="3000" w:type="pct"/>
            <w:tcMar>
              <w:top w:w="0" w:type="dxa"/>
              <w:left w:w="0" w:type="dxa"/>
              <w:bottom w:w="0" w:type="dxa"/>
              <w:right w:w="0" w:type="dxa"/>
            </w:tcMar>
            <w:hideMark/>
          </w:tcPr>
          <w:p w14:paraId="26A703D9" w14:textId="77777777" w:rsidR="00777B7E" w:rsidRDefault="00000000">
            <w:pPr>
              <w:pBdr>
                <w:top w:val="none" w:sz="0" w:space="31" w:color="auto"/>
                <w:bottom w:val="none" w:sz="0" w:space="7" w:color="auto"/>
                <w:right w:val="none" w:sz="0" w:space="15" w:color="auto"/>
              </w:pBdr>
              <w:spacing w:line="640" w:lineRule="atLeast"/>
              <w:ind w:right="300"/>
              <w:jc w:val="center"/>
              <w:rPr>
                <w:rFonts w:ascii="Segoe UI" w:eastAsia="Segoe UI" w:hAnsi="Segoe UI" w:cs="Segoe UI"/>
                <w:b/>
                <w:bCs/>
                <w:color w:val="1B6964"/>
                <w:sz w:val="64"/>
                <w:szCs w:val="64"/>
              </w:rPr>
            </w:pPr>
            <w:r>
              <w:rPr>
                <w:rFonts w:ascii="Segoe UI" w:eastAsia="Segoe UI" w:hAnsi="Segoe UI" w:cs="Segoe UI"/>
                <w:b/>
                <w:bCs/>
                <w:color w:val="1B6964"/>
                <w:sz w:val="64"/>
                <w:szCs w:val="64"/>
              </w:rPr>
              <w:t>Compliance Overview</w:t>
            </w:r>
          </w:p>
          <w:p w14:paraId="704B64CF" w14:textId="77777777" w:rsidR="00777B7E" w:rsidRDefault="00000000">
            <w:pPr>
              <w:pBdr>
                <w:top w:val="none" w:sz="0" w:space="7" w:color="auto"/>
                <w:bottom w:val="none" w:sz="0" w:space="7" w:color="auto"/>
                <w:right w:val="none" w:sz="0" w:space="15" w:color="auto"/>
              </w:pBdr>
              <w:ind w:right="300"/>
              <w:jc w:val="center"/>
              <w:rPr>
                <w:rFonts w:ascii="Segoe UI" w:eastAsia="Segoe UI" w:hAnsi="Segoe UI" w:cs="Segoe UI"/>
                <w:color w:val="1B6964"/>
                <w:sz w:val="21"/>
                <w:szCs w:val="21"/>
              </w:rPr>
            </w:pPr>
            <w:r>
              <w:rPr>
                <w:rFonts w:ascii="Segoe UI" w:eastAsia="Segoe UI" w:hAnsi="Segoe UI" w:cs="Segoe UI"/>
                <w:color w:val="1B6964"/>
                <w:sz w:val="21"/>
                <w:szCs w:val="21"/>
              </w:rPr>
              <w:t>Brought to you by: Sterling Seacrest Pritchard, Inc.</w:t>
            </w:r>
          </w:p>
        </w:tc>
      </w:tr>
    </w:tbl>
    <w:p w14:paraId="7264DB98" w14:textId="77777777" w:rsidR="00777B7E" w:rsidRDefault="00777B7E">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777B7E" w14:paraId="27A83CD4" w14:textId="77777777">
        <w:trPr>
          <w:tblCellSpacing w:w="0" w:type="dxa"/>
          <w:jc w:val="center"/>
        </w:trPr>
        <w:tc>
          <w:tcPr>
            <w:tcW w:w="0" w:type="auto"/>
            <w:tcMar>
              <w:top w:w="0" w:type="dxa"/>
              <w:left w:w="0" w:type="dxa"/>
              <w:bottom w:w="0" w:type="dxa"/>
              <w:right w:w="0" w:type="dxa"/>
            </w:tcMar>
            <w:vAlign w:val="center"/>
            <w:hideMark/>
          </w:tcPr>
          <w:p w14:paraId="22494A36" w14:textId="77777777" w:rsidR="00777B7E" w:rsidRDefault="00000000">
            <w:pPr>
              <w:rPr>
                <w:color w:val="000000"/>
                <w:sz w:val="30"/>
                <w:szCs w:val="30"/>
              </w:rPr>
            </w:pPr>
            <w:r>
              <w:rPr>
                <w:color w:val="000000"/>
                <w:sz w:val="30"/>
                <w:szCs w:val="30"/>
              </w:rPr>
              <w:t> </w:t>
            </w:r>
          </w:p>
          <w:p w14:paraId="70B0B3FC" w14:textId="77777777" w:rsidR="00777B7E" w:rsidRDefault="00000000">
            <w:pPr>
              <w:spacing w:line="400" w:lineRule="atLeast"/>
              <w:rPr>
                <w:rFonts w:ascii="Segoe UI" w:eastAsia="Segoe UI" w:hAnsi="Segoe UI" w:cs="Segoe UI"/>
                <w:color w:val="1B6964"/>
                <w:sz w:val="40"/>
                <w:szCs w:val="40"/>
              </w:rPr>
            </w:pPr>
            <w:r>
              <w:rPr>
                <w:rFonts w:ascii="Segoe UI" w:eastAsia="Segoe UI" w:hAnsi="Segoe UI" w:cs="Segoe UI"/>
                <w:color w:val="1B6964"/>
                <w:sz w:val="40"/>
                <w:szCs w:val="40"/>
              </w:rPr>
              <w:t>Transparency in Health Coverage</w:t>
            </w:r>
          </w:p>
          <w:p w14:paraId="45F5B77E" w14:textId="77777777" w:rsidR="00777B7E" w:rsidRDefault="00000000">
            <w:pPr>
              <w:rPr>
                <w:color w:val="000000"/>
                <w:sz w:val="15"/>
                <w:szCs w:val="15"/>
              </w:rPr>
            </w:pPr>
            <w:r>
              <w:rPr>
                <w:color w:val="000000"/>
                <w:sz w:val="15"/>
                <w:szCs w:val="15"/>
              </w:rPr>
              <w:t> </w:t>
            </w:r>
          </w:p>
          <w:p w14:paraId="7E8D3ACE" w14:textId="77777777" w:rsidR="00777B7E" w:rsidRDefault="00000000">
            <w:pPr>
              <w:rPr>
                <w:rFonts w:ascii="Segoe UI" w:eastAsia="Segoe UI" w:hAnsi="Segoe UI" w:cs="Segoe UI"/>
                <w:color w:val="000000"/>
                <w:sz w:val="20"/>
                <w:szCs w:val="20"/>
              </w:rPr>
            </w:pPr>
            <w:r>
              <w:rPr>
                <w:rFonts w:ascii="Segoe UI" w:eastAsia="Segoe UI" w:hAnsi="Segoe UI" w:cs="Segoe UI"/>
                <w:color w:val="000000"/>
                <w:sz w:val="20"/>
                <w:szCs w:val="20"/>
              </w:rPr>
              <w:t>New transparency in coverage requirements apply to group health plans and health insurers in the individual and group markets. These rules require plans and issuers to disclose certain price and cost information to participants, beneficiaries and enrollees.</w:t>
            </w:r>
          </w:p>
          <w:p w14:paraId="0B15EF78" w14:textId="77777777" w:rsidR="00777B7E" w:rsidRDefault="00000000">
            <w:pPr>
              <w:rPr>
                <w:color w:val="000000"/>
                <w:sz w:val="23"/>
                <w:szCs w:val="23"/>
              </w:rPr>
            </w:pPr>
            <w:r>
              <w:rPr>
                <w:color w:val="000000"/>
                <w:sz w:val="23"/>
                <w:szCs w:val="23"/>
              </w:rPr>
              <w:t> </w:t>
            </w:r>
          </w:p>
          <w:p w14:paraId="6390812B" w14:textId="77777777" w:rsidR="00777B7E" w:rsidRDefault="00000000">
            <w:pPr>
              <w:rPr>
                <w:rFonts w:ascii="Segoe UI" w:eastAsia="Segoe UI" w:hAnsi="Segoe UI" w:cs="Segoe UI"/>
                <w:color w:val="000000"/>
                <w:sz w:val="20"/>
                <w:szCs w:val="20"/>
              </w:rPr>
            </w:pPr>
            <w:r>
              <w:rPr>
                <w:rFonts w:ascii="Segoe UI" w:eastAsia="Segoe UI" w:hAnsi="Segoe UI" w:cs="Segoe UI"/>
                <w:color w:val="000000"/>
                <w:sz w:val="20"/>
                <w:szCs w:val="20"/>
              </w:rPr>
              <w:t>These provisions only apply to non-grandfathered coverage, including both insured and self-insured group health plan sponsors. The requirements take effect in three phases, as follows:</w:t>
            </w:r>
          </w:p>
          <w:p w14:paraId="39B83FC3" w14:textId="77777777" w:rsidR="00777B7E" w:rsidRDefault="00000000">
            <w:pPr>
              <w:rPr>
                <w:color w:val="000000"/>
                <w:sz w:val="23"/>
                <w:szCs w:val="23"/>
              </w:rPr>
            </w:pPr>
            <w:r>
              <w:rPr>
                <w:color w:val="000000"/>
                <w:sz w:val="23"/>
                <w:szCs w:val="23"/>
              </w:rPr>
              <w:t> </w:t>
            </w:r>
          </w:p>
          <w:p w14:paraId="6C730051" w14:textId="77777777" w:rsidR="00777B7E" w:rsidRDefault="00000000">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Jan. 1, 2022</w:t>
            </w:r>
            <w:r>
              <w:rPr>
                <w:rFonts w:ascii="Segoe UI" w:eastAsia="Segoe UI" w:hAnsi="Segoe UI" w:cs="Segoe UI"/>
                <w:color w:val="000000"/>
                <w:sz w:val="20"/>
                <w:szCs w:val="20"/>
              </w:rPr>
              <w:t>: Detailed pricing information must generally be made public for plan years beginning on or after Jan. 1, 2022.</w:t>
            </w:r>
          </w:p>
          <w:p w14:paraId="12E01386" w14:textId="77777777" w:rsidR="00777B7E" w:rsidRDefault="00000000">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Jan. 1, 2023</w:t>
            </w:r>
            <w:r>
              <w:rPr>
                <w:rFonts w:ascii="Segoe UI" w:eastAsia="Segoe UI" w:hAnsi="Segoe UI" w:cs="Segoe UI"/>
                <w:color w:val="000000"/>
                <w:sz w:val="20"/>
                <w:szCs w:val="20"/>
              </w:rPr>
              <w:t>: A list of 500 shoppable services must be available via the internet-based self-service tool for plan years beginning on or after Jan. 1, 2023.</w:t>
            </w:r>
          </w:p>
          <w:p w14:paraId="3959A4F7" w14:textId="77777777" w:rsidR="00777B7E" w:rsidRDefault="00000000">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Jan. 1, 2024</w:t>
            </w:r>
            <w:r>
              <w:rPr>
                <w:rFonts w:ascii="Segoe UI" w:eastAsia="Segoe UI" w:hAnsi="Segoe UI" w:cs="Segoe UI"/>
                <w:color w:val="000000"/>
                <w:sz w:val="20"/>
                <w:szCs w:val="20"/>
              </w:rPr>
              <w:t>: A list of the remainder of all items and services is required for plan years beginning on or after Jan. 1, 2024.</w:t>
            </w:r>
          </w:p>
          <w:p w14:paraId="3F1A74CB" w14:textId="77777777" w:rsidR="00777B7E" w:rsidRDefault="00000000">
            <w:pPr>
              <w:rPr>
                <w:color w:val="000000"/>
                <w:sz w:val="23"/>
                <w:szCs w:val="23"/>
              </w:rPr>
            </w:pPr>
            <w:r>
              <w:rPr>
                <w:color w:val="000000"/>
                <w:sz w:val="23"/>
                <w:szCs w:val="23"/>
              </w:rPr>
              <w:t> </w:t>
            </w:r>
          </w:p>
          <w:p w14:paraId="74FF5A26" w14:textId="77777777" w:rsidR="00777B7E" w:rsidRDefault="00000000">
            <w:pPr>
              <w:spacing w:line="320" w:lineRule="atLeast"/>
              <w:rPr>
                <w:rFonts w:ascii="Segoe UI" w:eastAsia="Segoe UI" w:hAnsi="Segoe UI" w:cs="Segoe UI"/>
                <w:color w:val="1B6964"/>
                <w:sz w:val="32"/>
                <w:szCs w:val="32"/>
              </w:rPr>
            </w:pPr>
            <w:r>
              <w:rPr>
                <w:rFonts w:ascii="Segoe UI" w:eastAsia="Segoe UI" w:hAnsi="Segoe UI" w:cs="Segoe UI"/>
                <w:color w:val="1B6964"/>
                <w:sz w:val="32"/>
                <w:szCs w:val="32"/>
              </w:rPr>
              <w:t>LINKS AND RESOURCES</w:t>
            </w:r>
          </w:p>
          <w:p w14:paraId="03324BCF" w14:textId="77777777" w:rsidR="00777B7E" w:rsidRDefault="00000000">
            <w:pPr>
              <w:rPr>
                <w:color w:val="000000"/>
                <w:sz w:val="15"/>
                <w:szCs w:val="15"/>
              </w:rPr>
            </w:pPr>
            <w:r>
              <w:rPr>
                <w:color w:val="000000"/>
                <w:sz w:val="15"/>
                <w:szCs w:val="15"/>
              </w:rPr>
              <w:t> </w:t>
            </w:r>
          </w:p>
          <w:p w14:paraId="3B92FC2C" w14:textId="77777777" w:rsidR="00777B7E" w:rsidRDefault="00000000">
            <w:pPr>
              <w:numPr>
                <w:ilvl w:val="0"/>
                <w:numId w:val="2"/>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 xml:space="preserve">On Oct. 29, 2020, the Departments of Labor (DOL), Health and Human Services (HHS) and the Treasury (Departments) issued a </w:t>
            </w:r>
            <w:hyperlink r:id="rId6" w:tgtFrame="_blank" w:history="1">
              <w:r>
                <w:rPr>
                  <w:rFonts w:ascii="Segoe UI" w:eastAsia="Segoe UI" w:hAnsi="Segoe UI" w:cs="Segoe UI"/>
                  <w:color w:val="0000EE"/>
                  <w:sz w:val="20"/>
                  <w:szCs w:val="20"/>
                  <w:u w:val="single" w:color="0000EE"/>
                </w:rPr>
                <w:t>final rule</w:t>
              </w:r>
            </w:hyperlink>
            <w:r>
              <w:rPr>
                <w:rFonts w:ascii="Segoe UI" w:eastAsia="Segoe UI" w:hAnsi="Segoe UI" w:cs="Segoe UI"/>
                <w:color w:val="000000"/>
                <w:sz w:val="20"/>
                <w:szCs w:val="20"/>
              </w:rPr>
              <w:t xml:space="preserve"> regarding transparency in coverage.</w:t>
            </w:r>
          </w:p>
          <w:p w14:paraId="10E0F1C4" w14:textId="77777777" w:rsidR="00777B7E" w:rsidRDefault="00000000">
            <w:pPr>
              <w:numPr>
                <w:ilvl w:val="0"/>
                <w:numId w:val="2"/>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 xml:space="preserve">Transparency in coverage </w:t>
            </w:r>
            <w:hyperlink r:id="rId7" w:tgtFrame="_blank" w:history="1">
              <w:r>
                <w:rPr>
                  <w:rFonts w:ascii="Segoe UI" w:eastAsia="Segoe UI" w:hAnsi="Segoe UI" w:cs="Segoe UI"/>
                  <w:color w:val="0000EE"/>
                  <w:sz w:val="20"/>
                  <w:szCs w:val="20"/>
                  <w:u w:val="single" w:color="0000EE"/>
                </w:rPr>
                <w:t>FAQs</w:t>
              </w:r>
            </w:hyperlink>
            <w:r>
              <w:rPr>
                <w:rFonts w:ascii="Segoe UI" w:eastAsia="Segoe UI" w:hAnsi="Segoe UI" w:cs="Segoe UI"/>
                <w:color w:val="000000"/>
                <w:sz w:val="20"/>
                <w:szCs w:val="20"/>
              </w:rPr>
              <w:t xml:space="preserve"> were released on Aug. 20, 2021.</w:t>
            </w:r>
          </w:p>
          <w:p w14:paraId="20A7A527" w14:textId="77777777" w:rsidR="00777B7E" w:rsidRDefault="00000000">
            <w:pPr>
              <w:rPr>
                <w:color w:val="000000"/>
                <w:sz w:val="23"/>
                <w:szCs w:val="23"/>
              </w:rPr>
            </w:pPr>
            <w:r>
              <w:rPr>
                <w:color w:val="000000"/>
                <w:sz w:val="23"/>
                <w:szCs w:val="23"/>
              </w:rPr>
              <w:t> </w:t>
            </w:r>
          </w:p>
          <w:p w14:paraId="5A777E71" w14:textId="77777777" w:rsidR="00777B7E" w:rsidRDefault="00000000">
            <w:pPr>
              <w:spacing w:line="320" w:lineRule="atLeast"/>
              <w:rPr>
                <w:rFonts w:ascii="Segoe UI" w:eastAsia="Segoe UI" w:hAnsi="Segoe UI" w:cs="Segoe UI"/>
                <w:color w:val="1B6964"/>
                <w:sz w:val="32"/>
                <w:szCs w:val="32"/>
              </w:rPr>
            </w:pPr>
            <w:r>
              <w:rPr>
                <w:rFonts w:ascii="Segoe UI" w:eastAsia="Segoe UI" w:hAnsi="Segoe UI" w:cs="Segoe UI"/>
                <w:color w:val="1B6964"/>
                <w:sz w:val="32"/>
                <w:szCs w:val="32"/>
              </w:rPr>
              <w:t>Transparency in Coverage Requirements</w:t>
            </w:r>
          </w:p>
          <w:p w14:paraId="353A9483" w14:textId="77777777" w:rsidR="00777B7E" w:rsidRDefault="00000000">
            <w:pPr>
              <w:rPr>
                <w:color w:val="000000"/>
                <w:sz w:val="15"/>
                <w:szCs w:val="15"/>
              </w:rPr>
            </w:pPr>
            <w:r>
              <w:rPr>
                <w:color w:val="000000"/>
                <w:sz w:val="15"/>
                <w:szCs w:val="15"/>
              </w:rPr>
              <w:t> </w:t>
            </w:r>
          </w:p>
          <w:p w14:paraId="236028CD" w14:textId="77777777" w:rsidR="00777B7E" w:rsidRDefault="00000000">
            <w:pPr>
              <w:rPr>
                <w:rFonts w:ascii="Segoe UI" w:eastAsia="Segoe UI" w:hAnsi="Segoe UI" w:cs="Segoe UI"/>
                <w:color w:val="000000"/>
                <w:sz w:val="20"/>
                <w:szCs w:val="20"/>
              </w:rPr>
            </w:pPr>
            <w:r>
              <w:rPr>
                <w:rFonts w:ascii="Segoe UI" w:eastAsia="Segoe UI" w:hAnsi="Segoe UI" w:cs="Segoe UI"/>
                <w:color w:val="000000"/>
                <w:sz w:val="20"/>
                <w:szCs w:val="20"/>
              </w:rPr>
              <w:t xml:space="preserve">The </w:t>
            </w:r>
            <w:hyperlink r:id="rId8" w:tgtFrame="_blank" w:history="1">
              <w:r>
                <w:rPr>
                  <w:rFonts w:ascii="Segoe UI" w:eastAsia="Segoe UI" w:hAnsi="Segoe UI" w:cs="Segoe UI"/>
                  <w:color w:val="0000EE"/>
                  <w:sz w:val="20"/>
                  <w:szCs w:val="20"/>
                  <w:u w:val="single" w:color="0000EE"/>
                </w:rPr>
                <w:t>Transparency in Coverage Final Rules</w:t>
              </w:r>
            </w:hyperlink>
            <w:r>
              <w:rPr>
                <w:rFonts w:ascii="Segoe UI" w:eastAsia="Segoe UI" w:hAnsi="Segoe UI" w:cs="Segoe UI"/>
                <w:color w:val="000000"/>
                <w:sz w:val="20"/>
                <w:szCs w:val="20"/>
              </w:rPr>
              <w:t xml:space="preserve"> (TiC Final Rules) require non-grandfathered group health plans and health insurance issuers offering non-grandfathered coverage in the group and individual markets to disclose certain information. The final rule includes two approaches to make health care price information accessible to consumers and other stakeholders, allowing for easy comparison shopping.</w:t>
            </w:r>
          </w:p>
          <w:p w14:paraId="3B0A17B1" w14:textId="77777777" w:rsidR="00777B7E" w:rsidRDefault="00000000">
            <w:pPr>
              <w:rPr>
                <w:color w:val="000000"/>
                <w:sz w:val="23"/>
                <w:szCs w:val="23"/>
              </w:rPr>
            </w:pPr>
            <w:r>
              <w:rPr>
                <w:color w:val="000000"/>
                <w:sz w:val="23"/>
                <w:szCs w:val="23"/>
              </w:rPr>
              <w:t> </w:t>
            </w:r>
          </w:p>
          <w:p w14:paraId="0D3BA544" w14:textId="77777777" w:rsidR="00777B7E" w:rsidRDefault="00000000">
            <w:pPr>
              <w:spacing w:line="240" w:lineRule="atLeast"/>
              <w:rPr>
                <w:rFonts w:ascii="Segoe UI" w:eastAsia="Segoe UI" w:hAnsi="Segoe UI" w:cs="Segoe UI"/>
                <w:b/>
                <w:bCs/>
                <w:color w:val="1B6964"/>
              </w:rPr>
            </w:pPr>
            <w:r>
              <w:rPr>
                <w:rFonts w:ascii="Segoe UI" w:eastAsia="Segoe UI" w:hAnsi="Segoe UI" w:cs="Segoe UI"/>
                <w:b/>
                <w:bCs/>
                <w:color w:val="1B6964"/>
              </w:rPr>
              <w:t>Participant, Beneficiary and Enrollee Disclosures</w:t>
            </w:r>
          </w:p>
          <w:p w14:paraId="443FCB83" w14:textId="77777777" w:rsidR="00777B7E" w:rsidRDefault="00000000">
            <w:pPr>
              <w:rPr>
                <w:color w:val="000000"/>
                <w:sz w:val="15"/>
                <w:szCs w:val="15"/>
              </w:rPr>
            </w:pPr>
            <w:r>
              <w:rPr>
                <w:color w:val="000000"/>
                <w:sz w:val="15"/>
                <w:szCs w:val="15"/>
              </w:rPr>
              <w:t> </w:t>
            </w:r>
          </w:p>
          <w:p w14:paraId="5E6F4810" w14:textId="77777777" w:rsidR="00777B7E" w:rsidRDefault="00000000">
            <w:pPr>
              <w:rPr>
                <w:rFonts w:ascii="Segoe UI" w:eastAsia="Segoe UI" w:hAnsi="Segoe UI" w:cs="Segoe UI"/>
                <w:color w:val="000000"/>
                <w:sz w:val="20"/>
                <w:szCs w:val="20"/>
              </w:rPr>
            </w:pPr>
            <w:r>
              <w:rPr>
                <w:rFonts w:ascii="Segoe UI" w:eastAsia="Segoe UI" w:hAnsi="Segoe UI" w:cs="Segoe UI"/>
                <w:color w:val="000000"/>
                <w:sz w:val="20"/>
                <w:szCs w:val="20"/>
              </w:rPr>
              <w:t xml:space="preserve">First, most non-grandfathered group health plans and health insurance issuers offering non-grandfathered health insurance coverage in the individual and group markets will be required to disclose personalized price and cost-sharing information to participants, beneficiaries and enrollees (or their authorized representatives). Specifically, plans and issuers must provide </w:t>
            </w:r>
            <w:r>
              <w:rPr>
                <w:rFonts w:ascii="Segoe UI" w:eastAsia="Segoe UI" w:hAnsi="Segoe UI" w:cs="Segoe UI"/>
                <w:b/>
                <w:bCs/>
                <w:color w:val="000000"/>
                <w:sz w:val="20"/>
                <w:szCs w:val="20"/>
              </w:rPr>
              <w:t>personalized out-of-pocket cost</w:t>
            </w:r>
            <w:r>
              <w:rPr>
                <w:rFonts w:ascii="Segoe UI" w:eastAsia="Segoe UI" w:hAnsi="Segoe UI" w:cs="Segoe UI"/>
                <w:color w:val="000000"/>
                <w:sz w:val="20"/>
                <w:szCs w:val="20"/>
              </w:rPr>
              <w:t xml:space="preserve"> information and the underlying negotiated rates for all covered health care items and services, including prescription drugs, through an internet-based self-service tool and in paper form upon request.</w:t>
            </w:r>
          </w:p>
          <w:p w14:paraId="6E2C8818" w14:textId="77777777" w:rsidR="00777B7E" w:rsidRDefault="00000000">
            <w:pPr>
              <w:rPr>
                <w:color w:val="000000"/>
                <w:sz w:val="23"/>
                <w:szCs w:val="23"/>
              </w:rPr>
            </w:pPr>
            <w:r>
              <w:rPr>
                <w:color w:val="000000"/>
                <w:sz w:val="23"/>
                <w:szCs w:val="23"/>
              </w:rPr>
              <w:t> </w:t>
            </w:r>
          </w:p>
          <w:p w14:paraId="3D6DEB58" w14:textId="77777777" w:rsidR="00777B7E" w:rsidRDefault="00000000">
            <w:pPr>
              <w:numPr>
                <w:ilvl w:val="0"/>
                <w:numId w:val="3"/>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 xml:space="preserve">An initial list of </w:t>
            </w:r>
            <w:r>
              <w:rPr>
                <w:rFonts w:ascii="Segoe UI" w:eastAsia="Segoe UI" w:hAnsi="Segoe UI" w:cs="Segoe UI"/>
                <w:b/>
                <w:bCs/>
                <w:color w:val="000000"/>
                <w:sz w:val="20"/>
                <w:szCs w:val="20"/>
              </w:rPr>
              <w:t>500 shoppable services</w:t>
            </w:r>
            <w:r>
              <w:rPr>
                <w:rFonts w:ascii="Segoe UI" w:eastAsia="Segoe UI" w:hAnsi="Segoe UI" w:cs="Segoe UI"/>
                <w:color w:val="000000"/>
                <w:sz w:val="20"/>
                <w:szCs w:val="20"/>
              </w:rPr>
              <w:t>, as determined by the Departments, is required to be available via the internet based self-service tool for plan years that begin on or after Jan. 1, 2023.</w:t>
            </w:r>
          </w:p>
          <w:p w14:paraId="3CEA54BA" w14:textId="77777777" w:rsidR="00777B7E" w:rsidRDefault="00000000">
            <w:pPr>
              <w:numPr>
                <w:ilvl w:val="0"/>
                <w:numId w:val="3"/>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 xml:space="preserve">A list of the </w:t>
            </w:r>
            <w:r>
              <w:rPr>
                <w:rFonts w:ascii="Segoe UI" w:eastAsia="Segoe UI" w:hAnsi="Segoe UI" w:cs="Segoe UI"/>
                <w:b/>
                <w:bCs/>
                <w:color w:val="000000"/>
                <w:sz w:val="20"/>
                <w:szCs w:val="20"/>
              </w:rPr>
              <w:t>remainder of all items and services</w:t>
            </w:r>
            <w:r>
              <w:rPr>
                <w:rFonts w:ascii="Segoe UI" w:eastAsia="Segoe UI" w:hAnsi="Segoe UI" w:cs="Segoe UI"/>
                <w:color w:val="000000"/>
                <w:sz w:val="20"/>
                <w:szCs w:val="20"/>
              </w:rPr>
              <w:t xml:space="preserve"> will be required for these self-service tools for plan years that begin on or after Jan. 1, 2024.</w:t>
            </w:r>
          </w:p>
          <w:p w14:paraId="04C14189" w14:textId="77777777" w:rsidR="00777B7E" w:rsidRDefault="00000000">
            <w:pPr>
              <w:rPr>
                <w:color w:val="000000"/>
                <w:sz w:val="23"/>
                <w:szCs w:val="23"/>
              </w:rPr>
            </w:pPr>
            <w:r>
              <w:rPr>
                <w:color w:val="000000"/>
                <w:sz w:val="23"/>
                <w:szCs w:val="23"/>
              </w:rPr>
              <w:t> </w:t>
            </w:r>
          </w:p>
          <w:p w14:paraId="04FBCFB5" w14:textId="77777777" w:rsidR="00777B7E" w:rsidRDefault="00000000">
            <w:pPr>
              <w:spacing w:line="240" w:lineRule="atLeast"/>
              <w:rPr>
                <w:rFonts w:ascii="Segoe UI" w:eastAsia="Segoe UI" w:hAnsi="Segoe UI" w:cs="Segoe UI"/>
                <w:b/>
                <w:bCs/>
                <w:color w:val="1B6964"/>
              </w:rPr>
            </w:pPr>
            <w:r>
              <w:rPr>
                <w:rFonts w:ascii="Segoe UI" w:eastAsia="Segoe UI" w:hAnsi="Segoe UI" w:cs="Segoe UI"/>
                <w:b/>
                <w:bCs/>
                <w:color w:val="1B6964"/>
              </w:rPr>
              <w:t>Machine-readable Files</w:t>
            </w:r>
          </w:p>
          <w:p w14:paraId="4B5C094D" w14:textId="77777777" w:rsidR="00777B7E" w:rsidRDefault="00000000">
            <w:pPr>
              <w:rPr>
                <w:color w:val="000000"/>
                <w:sz w:val="15"/>
                <w:szCs w:val="15"/>
              </w:rPr>
            </w:pPr>
            <w:r>
              <w:rPr>
                <w:color w:val="000000"/>
                <w:sz w:val="15"/>
                <w:szCs w:val="15"/>
              </w:rPr>
              <w:t> </w:t>
            </w:r>
          </w:p>
          <w:p w14:paraId="24DDB1CE" w14:textId="77777777" w:rsidR="00777B7E" w:rsidRDefault="00000000">
            <w:pPr>
              <w:rPr>
                <w:rFonts w:ascii="Segoe UI" w:eastAsia="Segoe UI" w:hAnsi="Segoe UI" w:cs="Segoe UI"/>
                <w:color w:val="000000"/>
                <w:sz w:val="20"/>
                <w:szCs w:val="20"/>
              </w:rPr>
            </w:pPr>
            <w:r>
              <w:rPr>
                <w:rFonts w:ascii="Segoe UI" w:eastAsia="Segoe UI" w:hAnsi="Segoe UI" w:cs="Segoe UI"/>
                <w:color w:val="000000"/>
                <w:sz w:val="20"/>
                <w:szCs w:val="20"/>
              </w:rPr>
              <w:lastRenderedPageBreak/>
              <w:t>Second, most non-grandfathered group health plans or health insurance issuers offering non-grandfathered health insurance coverage in the individual and group markets will be required to make available to the public (including stakeholders such as consumers, researchers, employers and third-party developers) three separate machine-readable files that include detailed pricing information.</w:t>
            </w:r>
          </w:p>
          <w:p w14:paraId="67FAF5B7" w14:textId="77777777" w:rsidR="00777B7E" w:rsidRDefault="00000000">
            <w:pPr>
              <w:rPr>
                <w:color w:val="000000"/>
                <w:sz w:val="23"/>
                <w:szCs w:val="23"/>
              </w:rPr>
            </w:pPr>
            <w:r>
              <w:rPr>
                <w:color w:val="000000"/>
                <w:sz w:val="23"/>
                <w:szCs w:val="23"/>
              </w:rPr>
              <w:t> </w:t>
            </w:r>
          </w:p>
          <w:p w14:paraId="21B14B11" w14:textId="77777777" w:rsidR="00777B7E" w:rsidRDefault="00000000">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The first file must show negotiated rates for all covered items and services between the plan or issuer and in-network providers;</w:t>
            </w:r>
          </w:p>
          <w:p w14:paraId="29999FFF" w14:textId="77777777" w:rsidR="00777B7E" w:rsidRDefault="00000000">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The second file must show both the historical payments to, and billed charges from, out-of-network providers (historical payments must have a minimum of 20 entries in order to protect consumer privacy); and</w:t>
            </w:r>
          </w:p>
          <w:p w14:paraId="059BC4CB" w14:textId="77777777" w:rsidR="00777B7E" w:rsidRDefault="00000000">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The third file must detail the in-network negotiated rates and historical net prices for all covered prescription drugs by plan or issuer at the pharmacy location level.</w:t>
            </w:r>
          </w:p>
          <w:p w14:paraId="43D95A57" w14:textId="77777777" w:rsidR="00777B7E" w:rsidRDefault="00000000">
            <w:pPr>
              <w:rPr>
                <w:color w:val="000000"/>
                <w:sz w:val="23"/>
                <w:szCs w:val="23"/>
              </w:rPr>
            </w:pPr>
            <w:r>
              <w:rPr>
                <w:color w:val="000000"/>
                <w:sz w:val="23"/>
                <w:szCs w:val="23"/>
              </w:rPr>
              <w:t> </w:t>
            </w:r>
          </w:p>
          <w:p w14:paraId="046B9719" w14:textId="77777777" w:rsidR="00777B7E" w:rsidRDefault="00000000">
            <w:pPr>
              <w:rPr>
                <w:rFonts w:ascii="Segoe UI" w:eastAsia="Segoe UI" w:hAnsi="Segoe UI" w:cs="Segoe UI"/>
                <w:color w:val="000000"/>
                <w:sz w:val="20"/>
                <w:szCs w:val="20"/>
              </w:rPr>
            </w:pPr>
            <w:r>
              <w:rPr>
                <w:rFonts w:ascii="Segoe UI" w:eastAsia="Segoe UI" w:hAnsi="Segoe UI" w:cs="Segoe UI"/>
                <w:color w:val="000000"/>
                <w:sz w:val="20"/>
                <w:szCs w:val="20"/>
              </w:rPr>
              <w:t>Plans and issuers will display these data files in a standardized format and provide monthly updates.</w:t>
            </w:r>
          </w:p>
          <w:p w14:paraId="2E90453E" w14:textId="77777777" w:rsidR="00777B7E" w:rsidRDefault="00000000">
            <w:pPr>
              <w:rPr>
                <w:color w:val="000000"/>
                <w:sz w:val="23"/>
                <w:szCs w:val="23"/>
              </w:rPr>
            </w:pPr>
            <w:r>
              <w:rPr>
                <w:color w:val="000000"/>
                <w:sz w:val="23"/>
                <w:szCs w:val="23"/>
              </w:rPr>
              <w:t> </w:t>
            </w:r>
          </w:p>
          <w:p w14:paraId="6FBD26F9" w14:textId="77777777" w:rsidR="00777B7E" w:rsidRDefault="00000000">
            <w:pPr>
              <w:rPr>
                <w:rFonts w:ascii="Segoe UI" w:eastAsia="Segoe UI" w:hAnsi="Segoe UI" w:cs="Segoe UI"/>
                <w:color w:val="000000"/>
                <w:sz w:val="20"/>
                <w:szCs w:val="20"/>
              </w:rPr>
            </w:pPr>
            <w:r>
              <w:rPr>
                <w:rFonts w:ascii="Segoe UI" w:eastAsia="Segoe UI" w:hAnsi="Segoe UI" w:cs="Segoe UI"/>
                <w:color w:val="000000"/>
                <w:sz w:val="20"/>
                <w:szCs w:val="20"/>
              </w:rPr>
              <w:t xml:space="preserve">These machine-readable files are required to be made public for plan years that begin on or after </w:t>
            </w:r>
            <w:r>
              <w:rPr>
                <w:rFonts w:ascii="Segoe UI" w:eastAsia="Segoe UI" w:hAnsi="Segoe UI" w:cs="Segoe UI"/>
                <w:b/>
                <w:bCs/>
                <w:color w:val="000000"/>
                <w:sz w:val="20"/>
                <w:szCs w:val="20"/>
              </w:rPr>
              <w:t>Jan. 1, 2022</w:t>
            </w:r>
            <w:r>
              <w:rPr>
                <w:rFonts w:ascii="Segoe UI" w:eastAsia="Segoe UI" w:hAnsi="Segoe UI" w:cs="Segoe UI"/>
                <w:color w:val="000000"/>
                <w:sz w:val="20"/>
                <w:szCs w:val="20"/>
              </w:rPr>
              <w:t xml:space="preserve">. However, the Departments reserved enforcement discretion in their </w:t>
            </w:r>
            <w:hyperlink r:id="rId9" w:tgtFrame="_blank" w:history="1">
              <w:r>
                <w:rPr>
                  <w:rFonts w:ascii="Segoe UI" w:eastAsia="Segoe UI" w:hAnsi="Segoe UI" w:cs="Segoe UI"/>
                  <w:color w:val="0000EE"/>
                  <w:sz w:val="20"/>
                  <w:szCs w:val="20"/>
                  <w:u w:val="single" w:color="0000EE"/>
                </w:rPr>
                <w:t>FAQs</w:t>
              </w:r>
            </w:hyperlink>
            <w:r>
              <w:rPr>
                <w:rFonts w:ascii="Segoe UI" w:eastAsia="Segoe UI" w:hAnsi="Segoe UI" w:cs="Segoe UI"/>
                <w:color w:val="000000"/>
                <w:sz w:val="20"/>
                <w:szCs w:val="20"/>
              </w:rPr>
              <w:t xml:space="preserve"> to apply the following two exceptions:</w:t>
            </w:r>
          </w:p>
          <w:p w14:paraId="468D1B4A" w14:textId="77777777" w:rsidR="00777B7E" w:rsidRDefault="00000000">
            <w:pPr>
              <w:rPr>
                <w:color w:val="000000"/>
                <w:sz w:val="23"/>
                <w:szCs w:val="23"/>
              </w:rPr>
            </w:pPr>
            <w:r>
              <w:rPr>
                <w:color w:val="000000"/>
                <w:sz w:val="23"/>
                <w:szCs w:val="23"/>
              </w:rPr>
              <w:t> </w:t>
            </w:r>
          </w:p>
          <w:p w14:paraId="2E5CB10A" w14:textId="77777777" w:rsidR="00777B7E" w:rsidRDefault="00000000">
            <w:pPr>
              <w:numPr>
                <w:ilvl w:val="0"/>
                <w:numId w:val="5"/>
              </w:numPr>
              <w:pBdr>
                <w:top w:val="none" w:sz="0" w:space="3" w:color="auto"/>
              </w:pBdr>
              <w:ind w:left="375" w:hanging="251"/>
              <w:rPr>
                <w:rFonts w:ascii="Segoe UI" w:eastAsia="Segoe UI" w:hAnsi="Segoe UI" w:cs="Segoe UI"/>
                <w:color w:val="000000"/>
                <w:sz w:val="20"/>
                <w:szCs w:val="20"/>
              </w:rPr>
            </w:pPr>
            <w:r>
              <w:rPr>
                <w:rFonts w:ascii="Segoe UI" w:eastAsia="Segoe UI" w:hAnsi="Segoe UI" w:cs="Segoe UI"/>
                <w:color w:val="000000"/>
                <w:sz w:val="20"/>
                <w:szCs w:val="20"/>
              </w:rPr>
              <w:t xml:space="preserve">Under the first exception, the Departments will </w:t>
            </w:r>
            <w:r>
              <w:rPr>
                <w:rFonts w:ascii="Segoe UI" w:eastAsia="Segoe UI" w:hAnsi="Segoe UI" w:cs="Segoe UI"/>
                <w:b/>
                <w:bCs/>
                <w:color w:val="000000"/>
                <w:sz w:val="20"/>
                <w:szCs w:val="20"/>
              </w:rPr>
              <w:t>defer enforcement of the machine-readable files requirement relating to prescription drug pricing</w:t>
            </w:r>
            <w:r>
              <w:rPr>
                <w:rFonts w:ascii="Segoe UI" w:eastAsia="Segoe UI" w:hAnsi="Segoe UI" w:cs="Segoe UI"/>
                <w:color w:val="000000"/>
                <w:sz w:val="20"/>
                <w:szCs w:val="20"/>
              </w:rPr>
              <w:t xml:space="preserve"> pending further rulemaking. Following the enactment of the </w:t>
            </w:r>
            <w:hyperlink r:id="rId10" w:tgtFrame="_blank" w:history="1">
              <w:r>
                <w:rPr>
                  <w:rFonts w:ascii="Segoe UI" w:eastAsia="Segoe UI" w:hAnsi="Segoe UI" w:cs="Segoe UI"/>
                  <w:color w:val="0000EE"/>
                  <w:sz w:val="20"/>
                  <w:szCs w:val="20"/>
                  <w:u w:val="single" w:color="0000EE"/>
                </w:rPr>
                <w:t>Consolidated Appropriations Act, 2021</w:t>
              </w:r>
            </w:hyperlink>
            <w:r>
              <w:rPr>
                <w:rFonts w:ascii="Segoe UI" w:eastAsia="Segoe UI" w:hAnsi="Segoe UI" w:cs="Segoe UI"/>
                <w:color w:val="000000"/>
                <w:sz w:val="20"/>
                <w:szCs w:val="20"/>
              </w:rPr>
              <w:t xml:space="preserve"> (CAA)--which imposes potentially duplicative and overlapping reporting requirements for prescription drugs</w:t>
            </w:r>
            <w:r>
              <w:rPr>
                <w:rFonts w:ascii="Segoe UI" w:eastAsia="Segoe UI" w:hAnsi="Segoe UI" w:cs="Segoe UI"/>
                <w:color w:val="000000"/>
                <w:sz w:val="20"/>
                <w:szCs w:val="20"/>
              </w:rPr>
              <w:t>the Departments are currently considering whether the prescription drug machine-readable file requirement remains appropriate.</w:t>
            </w:r>
          </w:p>
          <w:p w14:paraId="3500873A" w14:textId="77777777" w:rsidR="00777B7E" w:rsidRDefault="00000000">
            <w:pPr>
              <w:numPr>
                <w:ilvl w:val="0"/>
                <w:numId w:val="5"/>
              </w:numPr>
              <w:pBdr>
                <w:top w:val="none" w:sz="0" w:space="3" w:color="auto"/>
              </w:pBdr>
              <w:ind w:left="375" w:hanging="251"/>
              <w:rPr>
                <w:rFonts w:ascii="Segoe UI" w:eastAsia="Segoe UI" w:hAnsi="Segoe UI" w:cs="Segoe UI"/>
                <w:color w:val="000000"/>
                <w:sz w:val="20"/>
                <w:szCs w:val="20"/>
              </w:rPr>
            </w:pPr>
            <w:r>
              <w:rPr>
                <w:rFonts w:ascii="Segoe UI" w:eastAsia="Segoe UI" w:hAnsi="Segoe UI" w:cs="Segoe UI"/>
                <w:color w:val="000000"/>
                <w:sz w:val="20"/>
                <w:szCs w:val="20"/>
              </w:rPr>
              <w:t xml:space="preserve">Under the second exception, the Department will </w:t>
            </w:r>
            <w:r>
              <w:rPr>
                <w:rFonts w:ascii="Segoe UI" w:eastAsia="Segoe UI" w:hAnsi="Segoe UI" w:cs="Segoe UI"/>
                <w:b/>
                <w:bCs/>
                <w:color w:val="000000"/>
                <w:sz w:val="20"/>
                <w:szCs w:val="20"/>
              </w:rPr>
              <w:t>defer enforcement of the requirement to publish the remaining machine-readable files until July 1, 2022</w:t>
            </w:r>
            <w:r>
              <w:rPr>
                <w:rFonts w:ascii="Segoe UI" w:eastAsia="Segoe UI" w:hAnsi="Segoe UI" w:cs="Segoe UI"/>
                <w:color w:val="000000"/>
                <w:sz w:val="20"/>
                <w:szCs w:val="20"/>
              </w:rPr>
              <w:t>. On July 1, 2022, the Departments intend to begin enforcing the requirement that plans and issuers publicly disclose information related to in-network rates and out-of-network allowed amounts and billed charges for plan years (in the individual market, policy years) beginning on or after Jan. 1, 2022. For 2022 plan years and policy years beginning subsequent to July 1, 2022, plans and issuers should thus post the machine-readable files in the month in which the plan year (in the individual market, policy year) begins, consistent with the applicability provision of the TiC Final Rules.</w:t>
            </w:r>
          </w:p>
          <w:p w14:paraId="7050978E" w14:textId="77777777" w:rsidR="00777B7E" w:rsidRDefault="00000000">
            <w:pPr>
              <w:rPr>
                <w:color w:val="000000"/>
                <w:sz w:val="23"/>
                <w:szCs w:val="23"/>
              </w:rPr>
            </w:pPr>
            <w:r>
              <w:rPr>
                <w:color w:val="000000"/>
                <w:sz w:val="23"/>
                <w:szCs w:val="23"/>
              </w:rPr>
              <w:t> </w:t>
            </w:r>
          </w:p>
          <w:p w14:paraId="5ED31A78" w14:textId="77777777" w:rsidR="00777B7E" w:rsidRDefault="00000000">
            <w:pPr>
              <w:rPr>
                <w:rFonts w:ascii="Segoe UI" w:eastAsia="Segoe UI" w:hAnsi="Segoe UI" w:cs="Segoe UI"/>
                <w:color w:val="000000"/>
                <w:sz w:val="20"/>
                <w:szCs w:val="20"/>
              </w:rPr>
            </w:pPr>
            <w:r>
              <w:rPr>
                <w:rFonts w:ascii="Segoe UI" w:eastAsia="Segoe UI" w:hAnsi="Segoe UI" w:cs="Segoe UI"/>
                <w:color w:val="000000"/>
                <w:sz w:val="20"/>
                <w:szCs w:val="20"/>
              </w:rPr>
              <w:t>HHS encourages states that are primary enforcers of these requirements with regard to issuers to take a similar enforcement approach, and will not determine that a state is failing to substantially enforce this requirement if it takes this approach.</w:t>
            </w:r>
          </w:p>
          <w:p w14:paraId="63AB5F68" w14:textId="77777777" w:rsidR="00777B7E" w:rsidRDefault="00000000">
            <w:pPr>
              <w:rPr>
                <w:color w:val="000000"/>
                <w:sz w:val="23"/>
                <w:szCs w:val="23"/>
              </w:rPr>
            </w:pPr>
            <w:r>
              <w:rPr>
                <w:color w:val="000000"/>
                <w:sz w:val="23"/>
                <w:szCs w:val="23"/>
              </w:rPr>
              <w:t> </w:t>
            </w:r>
          </w:p>
          <w:p w14:paraId="4078159D" w14:textId="77777777" w:rsidR="00777B7E" w:rsidRDefault="00000000">
            <w:pPr>
              <w:spacing w:line="320" w:lineRule="atLeast"/>
              <w:rPr>
                <w:rFonts w:ascii="Segoe UI" w:eastAsia="Segoe UI" w:hAnsi="Segoe UI" w:cs="Segoe UI"/>
                <w:color w:val="1B6964"/>
                <w:sz w:val="32"/>
                <w:szCs w:val="32"/>
              </w:rPr>
            </w:pPr>
            <w:r>
              <w:rPr>
                <w:rFonts w:ascii="Segoe UI" w:eastAsia="Segoe UI" w:hAnsi="Segoe UI" w:cs="Segoe UI"/>
                <w:color w:val="1B6964"/>
                <w:sz w:val="32"/>
                <w:szCs w:val="32"/>
              </w:rPr>
              <w:t>MLR “Shared Savings” Credits</w:t>
            </w:r>
          </w:p>
          <w:p w14:paraId="59E1F30A" w14:textId="77777777" w:rsidR="00777B7E" w:rsidRDefault="00000000">
            <w:pPr>
              <w:rPr>
                <w:color w:val="000000"/>
                <w:sz w:val="15"/>
                <w:szCs w:val="15"/>
              </w:rPr>
            </w:pPr>
            <w:r>
              <w:rPr>
                <w:color w:val="000000"/>
                <w:sz w:val="15"/>
                <w:szCs w:val="15"/>
              </w:rPr>
              <w:t> </w:t>
            </w:r>
          </w:p>
          <w:p w14:paraId="4C3599A7" w14:textId="77777777" w:rsidR="00777B7E" w:rsidRDefault="00000000">
            <w:pPr>
              <w:rPr>
                <w:rFonts w:ascii="Segoe UI" w:eastAsia="Segoe UI" w:hAnsi="Segoe UI" w:cs="Segoe UI"/>
                <w:color w:val="000000"/>
                <w:sz w:val="20"/>
                <w:szCs w:val="20"/>
              </w:rPr>
            </w:pPr>
            <w:r>
              <w:rPr>
                <w:rFonts w:ascii="Segoe UI" w:eastAsia="Segoe UI" w:hAnsi="Segoe UI" w:cs="Segoe UI"/>
                <w:color w:val="000000"/>
                <w:sz w:val="20"/>
                <w:szCs w:val="20"/>
              </w:rPr>
              <w:t>The TiC Final Rules also allow issuers that share savings with consumers resulting from plan provisions encouraging consumers to shop for services from lower-cost, higher-value providers, to take credit for those “shared savings” payments in their medical loss ratio (MLR) calculations. This is intended to ensure that issuers would not be required to pay MLR rebates based on a plan design that would provide a benefit to consumers that is not currently captured in any existing MLR revenue or expense category.</w:t>
            </w:r>
          </w:p>
          <w:p w14:paraId="3F547F66" w14:textId="77777777" w:rsidR="00777B7E" w:rsidRDefault="00000000">
            <w:pPr>
              <w:rPr>
                <w:color w:val="000000"/>
                <w:sz w:val="23"/>
                <w:szCs w:val="23"/>
              </w:rPr>
            </w:pPr>
            <w:r>
              <w:rPr>
                <w:color w:val="000000"/>
                <w:sz w:val="23"/>
                <w:szCs w:val="23"/>
              </w:rPr>
              <w:t> </w:t>
            </w:r>
          </w:p>
        </w:tc>
      </w:tr>
    </w:tbl>
    <w:p w14:paraId="7C326382" w14:textId="77777777" w:rsidR="00777B7E" w:rsidRDefault="00777B7E">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777B7E" w14:paraId="5BBE9889" w14:textId="77777777">
        <w:trPr>
          <w:tblCellSpacing w:w="0" w:type="dxa"/>
          <w:jc w:val="center"/>
        </w:trPr>
        <w:tc>
          <w:tcPr>
            <w:tcW w:w="0" w:type="auto"/>
            <w:tcMar>
              <w:top w:w="0" w:type="dxa"/>
              <w:left w:w="0" w:type="dxa"/>
              <w:bottom w:w="0" w:type="dxa"/>
              <w:right w:w="0" w:type="dxa"/>
            </w:tcMar>
            <w:vAlign w:val="center"/>
            <w:hideMark/>
          </w:tcPr>
          <w:p w14:paraId="342071E8" w14:textId="77777777" w:rsidR="00777B7E" w:rsidRDefault="00000000">
            <w:pPr>
              <w:rPr>
                <w:rFonts w:ascii="Segoe UI" w:eastAsia="Segoe UI" w:hAnsi="Segoe UI" w:cs="Segoe UI"/>
                <w:color w:val="000000"/>
                <w:sz w:val="16"/>
                <w:szCs w:val="16"/>
              </w:rPr>
            </w:pPr>
            <w:r>
              <w:rPr>
                <w:rFonts w:ascii="Segoe UI" w:eastAsia="Segoe UI" w:hAnsi="Segoe UI" w:cs="Segoe UI"/>
                <w:color w:val="000000"/>
                <w:sz w:val="16"/>
                <w:szCs w:val="16"/>
              </w:rPr>
              <w:t>This Compliance Overview is not intended to be exhaustive nor should any discussion or opinions be construed as legal advice. Readers should contact legal counsel for legal advice. ©2022 Zywave, Inc. All rights reserved.</w:t>
            </w:r>
          </w:p>
        </w:tc>
      </w:tr>
    </w:tbl>
    <w:p w14:paraId="39EEB602" w14:textId="77777777" w:rsidR="00777B7E" w:rsidRDefault="00777B7E">
      <w:pPr>
        <w:spacing w:before="240" w:after="240"/>
      </w:pPr>
    </w:p>
    <w:sectPr w:rsidR="00777B7E">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232E32C">
      <w:start w:val="1"/>
      <w:numFmt w:val="bullet"/>
      <w:lvlText w:val=""/>
      <w:lvlJc w:val="left"/>
      <w:pPr>
        <w:ind w:left="720" w:hanging="360"/>
      </w:pPr>
      <w:rPr>
        <w:rFonts w:ascii="Symbol" w:hAnsi="Symbol"/>
      </w:rPr>
    </w:lvl>
    <w:lvl w:ilvl="1" w:tplc="988A7E6C">
      <w:start w:val="1"/>
      <w:numFmt w:val="bullet"/>
      <w:lvlText w:val="o"/>
      <w:lvlJc w:val="left"/>
      <w:pPr>
        <w:tabs>
          <w:tab w:val="num" w:pos="1440"/>
        </w:tabs>
        <w:ind w:left="1440" w:hanging="360"/>
      </w:pPr>
      <w:rPr>
        <w:rFonts w:ascii="Courier New" w:hAnsi="Courier New"/>
      </w:rPr>
    </w:lvl>
    <w:lvl w:ilvl="2" w:tplc="9A646238">
      <w:start w:val="1"/>
      <w:numFmt w:val="bullet"/>
      <w:lvlText w:val=""/>
      <w:lvlJc w:val="left"/>
      <w:pPr>
        <w:tabs>
          <w:tab w:val="num" w:pos="2160"/>
        </w:tabs>
        <w:ind w:left="2160" w:hanging="360"/>
      </w:pPr>
      <w:rPr>
        <w:rFonts w:ascii="Wingdings" w:hAnsi="Wingdings"/>
      </w:rPr>
    </w:lvl>
    <w:lvl w:ilvl="3" w:tplc="73B0AD10">
      <w:start w:val="1"/>
      <w:numFmt w:val="bullet"/>
      <w:lvlText w:val=""/>
      <w:lvlJc w:val="left"/>
      <w:pPr>
        <w:tabs>
          <w:tab w:val="num" w:pos="2880"/>
        </w:tabs>
        <w:ind w:left="2880" w:hanging="360"/>
      </w:pPr>
      <w:rPr>
        <w:rFonts w:ascii="Symbol" w:hAnsi="Symbol"/>
      </w:rPr>
    </w:lvl>
    <w:lvl w:ilvl="4" w:tplc="D53AC116">
      <w:start w:val="1"/>
      <w:numFmt w:val="bullet"/>
      <w:lvlText w:val="o"/>
      <w:lvlJc w:val="left"/>
      <w:pPr>
        <w:tabs>
          <w:tab w:val="num" w:pos="3600"/>
        </w:tabs>
        <w:ind w:left="3600" w:hanging="360"/>
      </w:pPr>
      <w:rPr>
        <w:rFonts w:ascii="Courier New" w:hAnsi="Courier New"/>
      </w:rPr>
    </w:lvl>
    <w:lvl w:ilvl="5" w:tplc="E7C86654">
      <w:start w:val="1"/>
      <w:numFmt w:val="bullet"/>
      <w:lvlText w:val=""/>
      <w:lvlJc w:val="left"/>
      <w:pPr>
        <w:tabs>
          <w:tab w:val="num" w:pos="4320"/>
        </w:tabs>
        <w:ind w:left="4320" w:hanging="360"/>
      </w:pPr>
      <w:rPr>
        <w:rFonts w:ascii="Wingdings" w:hAnsi="Wingdings"/>
      </w:rPr>
    </w:lvl>
    <w:lvl w:ilvl="6" w:tplc="2F620A0E">
      <w:start w:val="1"/>
      <w:numFmt w:val="bullet"/>
      <w:lvlText w:val=""/>
      <w:lvlJc w:val="left"/>
      <w:pPr>
        <w:tabs>
          <w:tab w:val="num" w:pos="5040"/>
        </w:tabs>
        <w:ind w:left="5040" w:hanging="360"/>
      </w:pPr>
      <w:rPr>
        <w:rFonts w:ascii="Symbol" w:hAnsi="Symbol"/>
      </w:rPr>
    </w:lvl>
    <w:lvl w:ilvl="7" w:tplc="24D6B352">
      <w:start w:val="1"/>
      <w:numFmt w:val="bullet"/>
      <w:lvlText w:val="o"/>
      <w:lvlJc w:val="left"/>
      <w:pPr>
        <w:tabs>
          <w:tab w:val="num" w:pos="5760"/>
        </w:tabs>
        <w:ind w:left="5760" w:hanging="360"/>
      </w:pPr>
      <w:rPr>
        <w:rFonts w:ascii="Courier New" w:hAnsi="Courier New"/>
      </w:rPr>
    </w:lvl>
    <w:lvl w:ilvl="8" w:tplc="EDAEBED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AECA942">
      <w:start w:val="1"/>
      <w:numFmt w:val="bullet"/>
      <w:lvlText w:val=""/>
      <w:lvlJc w:val="left"/>
      <w:pPr>
        <w:ind w:left="720" w:hanging="360"/>
      </w:pPr>
      <w:rPr>
        <w:rFonts w:ascii="Symbol" w:hAnsi="Symbol"/>
      </w:rPr>
    </w:lvl>
    <w:lvl w:ilvl="1" w:tplc="EC10DFAC">
      <w:start w:val="1"/>
      <w:numFmt w:val="bullet"/>
      <w:lvlText w:val="o"/>
      <w:lvlJc w:val="left"/>
      <w:pPr>
        <w:tabs>
          <w:tab w:val="num" w:pos="1440"/>
        </w:tabs>
        <w:ind w:left="1440" w:hanging="360"/>
      </w:pPr>
      <w:rPr>
        <w:rFonts w:ascii="Courier New" w:hAnsi="Courier New"/>
      </w:rPr>
    </w:lvl>
    <w:lvl w:ilvl="2" w:tplc="8004C0F2">
      <w:start w:val="1"/>
      <w:numFmt w:val="bullet"/>
      <w:lvlText w:val=""/>
      <w:lvlJc w:val="left"/>
      <w:pPr>
        <w:tabs>
          <w:tab w:val="num" w:pos="2160"/>
        </w:tabs>
        <w:ind w:left="2160" w:hanging="360"/>
      </w:pPr>
      <w:rPr>
        <w:rFonts w:ascii="Wingdings" w:hAnsi="Wingdings"/>
      </w:rPr>
    </w:lvl>
    <w:lvl w:ilvl="3" w:tplc="810059AC">
      <w:start w:val="1"/>
      <w:numFmt w:val="bullet"/>
      <w:lvlText w:val=""/>
      <w:lvlJc w:val="left"/>
      <w:pPr>
        <w:tabs>
          <w:tab w:val="num" w:pos="2880"/>
        </w:tabs>
        <w:ind w:left="2880" w:hanging="360"/>
      </w:pPr>
      <w:rPr>
        <w:rFonts w:ascii="Symbol" w:hAnsi="Symbol"/>
      </w:rPr>
    </w:lvl>
    <w:lvl w:ilvl="4" w:tplc="B200422A">
      <w:start w:val="1"/>
      <w:numFmt w:val="bullet"/>
      <w:lvlText w:val="o"/>
      <w:lvlJc w:val="left"/>
      <w:pPr>
        <w:tabs>
          <w:tab w:val="num" w:pos="3600"/>
        </w:tabs>
        <w:ind w:left="3600" w:hanging="360"/>
      </w:pPr>
      <w:rPr>
        <w:rFonts w:ascii="Courier New" w:hAnsi="Courier New"/>
      </w:rPr>
    </w:lvl>
    <w:lvl w:ilvl="5" w:tplc="905A4B7A">
      <w:start w:val="1"/>
      <w:numFmt w:val="bullet"/>
      <w:lvlText w:val=""/>
      <w:lvlJc w:val="left"/>
      <w:pPr>
        <w:tabs>
          <w:tab w:val="num" w:pos="4320"/>
        </w:tabs>
        <w:ind w:left="4320" w:hanging="360"/>
      </w:pPr>
      <w:rPr>
        <w:rFonts w:ascii="Wingdings" w:hAnsi="Wingdings"/>
      </w:rPr>
    </w:lvl>
    <w:lvl w:ilvl="6" w:tplc="D88874A8">
      <w:start w:val="1"/>
      <w:numFmt w:val="bullet"/>
      <w:lvlText w:val=""/>
      <w:lvlJc w:val="left"/>
      <w:pPr>
        <w:tabs>
          <w:tab w:val="num" w:pos="5040"/>
        </w:tabs>
        <w:ind w:left="5040" w:hanging="360"/>
      </w:pPr>
      <w:rPr>
        <w:rFonts w:ascii="Symbol" w:hAnsi="Symbol"/>
      </w:rPr>
    </w:lvl>
    <w:lvl w:ilvl="7" w:tplc="D4822196">
      <w:start w:val="1"/>
      <w:numFmt w:val="bullet"/>
      <w:lvlText w:val="o"/>
      <w:lvlJc w:val="left"/>
      <w:pPr>
        <w:tabs>
          <w:tab w:val="num" w:pos="5760"/>
        </w:tabs>
        <w:ind w:left="5760" w:hanging="360"/>
      </w:pPr>
      <w:rPr>
        <w:rFonts w:ascii="Courier New" w:hAnsi="Courier New"/>
      </w:rPr>
    </w:lvl>
    <w:lvl w:ilvl="8" w:tplc="CDCED2A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0A2C9640">
      <w:start w:val="1"/>
      <w:numFmt w:val="bullet"/>
      <w:lvlText w:val=""/>
      <w:lvlJc w:val="left"/>
      <w:pPr>
        <w:ind w:left="720" w:hanging="360"/>
      </w:pPr>
      <w:rPr>
        <w:rFonts w:ascii="Symbol" w:hAnsi="Symbol"/>
      </w:rPr>
    </w:lvl>
    <w:lvl w:ilvl="1" w:tplc="BCE2C598">
      <w:start w:val="1"/>
      <w:numFmt w:val="bullet"/>
      <w:lvlText w:val="o"/>
      <w:lvlJc w:val="left"/>
      <w:pPr>
        <w:tabs>
          <w:tab w:val="num" w:pos="1440"/>
        </w:tabs>
        <w:ind w:left="1440" w:hanging="360"/>
      </w:pPr>
      <w:rPr>
        <w:rFonts w:ascii="Courier New" w:hAnsi="Courier New"/>
      </w:rPr>
    </w:lvl>
    <w:lvl w:ilvl="2" w:tplc="04B27BCC">
      <w:start w:val="1"/>
      <w:numFmt w:val="bullet"/>
      <w:lvlText w:val=""/>
      <w:lvlJc w:val="left"/>
      <w:pPr>
        <w:tabs>
          <w:tab w:val="num" w:pos="2160"/>
        </w:tabs>
        <w:ind w:left="2160" w:hanging="360"/>
      </w:pPr>
      <w:rPr>
        <w:rFonts w:ascii="Wingdings" w:hAnsi="Wingdings"/>
      </w:rPr>
    </w:lvl>
    <w:lvl w:ilvl="3" w:tplc="A70E7288">
      <w:start w:val="1"/>
      <w:numFmt w:val="bullet"/>
      <w:lvlText w:val=""/>
      <w:lvlJc w:val="left"/>
      <w:pPr>
        <w:tabs>
          <w:tab w:val="num" w:pos="2880"/>
        </w:tabs>
        <w:ind w:left="2880" w:hanging="360"/>
      </w:pPr>
      <w:rPr>
        <w:rFonts w:ascii="Symbol" w:hAnsi="Symbol"/>
      </w:rPr>
    </w:lvl>
    <w:lvl w:ilvl="4" w:tplc="44A6F06C">
      <w:start w:val="1"/>
      <w:numFmt w:val="bullet"/>
      <w:lvlText w:val="o"/>
      <w:lvlJc w:val="left"/>
      <w:pPr>
        <w:tabs>
          <w:tab w:val="num" w:pos="3600"/>
        </w:tabs>
        <w:ind w:left="3600" w:hanging="360"/>
      </w:pPr>
      <w:rPr>
        <w:rFonts w:ascii="Courier New" w:hAnsi="Courier New"/>
      </w:rPr>
    </w:lvl>
    <w:lvl w:ilvl="5" w:tplc="F95CC4A6">
      <w:start w:val="1"/>
      <w:numFmt w:val="bullet"/>
      <w:lvlText w:val=""/>
      <w:lvlJc w:val="left"/>
      <w:pPr>
        <w:tabs>
          <w:tab w:val="num" w:pos="4320"/>
        </w:tabs>
        <w:ind w:left="4320" w:hanging="360"/>
      </w:pPr>
      <w:rPr>
        <w:rFonts w:ascii="Wingdings" w:hAnsi="Wingdings"/>
      </w:rPr>
    </w:lvl>
    <w:lvl w:ilvl="6" w:tplc="B53C6074">
      <w:start w:val="1"/>
      <w:numFmt w:val="bullet"/>
      <w:lvlText w:val=""/>
      <w:lvlJc w:val="left"/>
      <w:pPr>
        <w:tabs>
          <w:tab w:val="num" w:pos="5040"/>
        </w:tabs>
        <w:ind w:left="5040" w:hanging="360"/>
      </w:pPr>
      <w:rPr>
        <w:rFonts w:ascii="Symbol" w:hAnsi="Symbol"/>
      </w:rPr>
    </w:lvl>
    <w:lvl w:ilvl="7" w:tplc="997CBD28">
      <w:start w:val="1"/>
      <w:numFmt w:val="bullet"/>
      <w:lvlText w:val="o"/>
      <w:lvlJc w:val="left"/>
      <w:pPr>
        <w:tabs>
          <w:tab w:val="num" w:pos="5760"/>
        </w:tabs>
        <w:ind w:left="5760" w:hanging="360"/>
      </w:pPr>
      <w:rPr>
        <w:rFonts w:ascii="Courier New" w:hAnsi="Courier New"/>
      </w:rPr>
    </w:lvl>
    <w:lvl w:ilvl="8" w:tplc="5D04CA4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F40E9B4">
      <w:start w:val="1"/>
      <w:numFmt w:val="bullet"/>
      <w:lvlText w:val=""/>
      <w:lvlJc w:val="left"/>
      <w:pPr>
        <w:ind w:left="720" w:hanging="360"/>
      </w:pPr>
      <w:rPr>
        <w:rFonts w:ascii="Symbol" w:hAnsi="Symbol"/>
      </w:rPr>
    </w:lvl>
    <w:lvl w:ilvl="1" w:tplc="4E081CC4">
      <w:start w:val="1"/>
      <w:numFmt w:val="bullet"/>
      <w:lvlText w:val="o"/>
      <w:lvlJc w:val="left"/>
      <w:pPr>
        <w:tabs>
          <w:tab w:val="num" w:pos="1440"/>
        </w:tabs>
        <w:ind w:left="1440" w:hanging="360"/>
      </w:pPr>
      <w:rPr>
        <w:rFonts w:ascii="Courier New" w:hAnsi="Courier New"/>
      </w:rPr>
    </w:lvl>
    <w:lvl w:ilvl="2" w:tplc="D040B242">
      <w:start w:val="1"/>
      <w:numFmt w:val="bullet"/>
      <w:lvlText w:val=""/>
      <w:lvlJc w:val="left"/>
      <w:pPr>
        <w:tabs>
          <w:tab w:val="num" w:pos="2160"/>
        </w:tabs>
        <w:ind w:left="2160" w:hanging="360"/>
      </w:pPr>
      <w:rPr>
        <w:rFonts w:ascii="Wingdings" w:hAnsi="Wingdings"/>
      </w:rPr>
    </w:lvl>
    <w:lvl w:ilvl="3" w:tplc="10B2012E">
      <w:start w:val="1"/>
      <w:numFmt w:val="bullet"/>
      <w:lvlText w:val=""/>
      <w:lvlJc w:val="left"/>
      <w:pPr>
        <w:tabs>
          <w:tab w:val="num" w:pos="2880"/>
        </w:tabs>
        <w:ind w:left="2880" w:hanging="360"/>
      </w:pPr>
      <w:rPr>
        <w:rFonts w:ascii="Symbol" w:hAnsi="Symbol"/>
      </w:rPr>
    </w:lvl>
    <w:lvl w:ilvl="4" w:tplc="BBEA9736">
      <w:start w:val="1"/>
      <w:numFmt w:val="bullet"/>
      <w:lvlText w:val="o"/>
      <w:lvlJc w:val="left"/>
      <w:pPr>
        <w:tabs>
          <w:tab w:val="num" w:pos="3600"/>
        </w:tabs>
        <w:ind w:left="3600" w:hanging="360"/>
      </w:pPr>
      <w:rPr>
        <w:rFonts w:ascii="Courier New" w:hAnsi="Courier New"/>
      </w:rPr>
    </w:lvl>
    <w:lvl w:ilvl="5" w:tplc="9FCCF178">
      <w:start w:val="1"/>
      <w:numFmt w:val="bullet"/>
      <w:lvlText w:val=""/>
      <w:lvlJc w:val="left"/>
      <w:pPr>
        <w:tabs>
          <w:tab w:val="num" w:pos="4320"/>
        </w:tabs>
        <w:ind w:left="4320" w:hanging="360"/>
      </w:pPr>
      <w:rPr>
        <w:rFonts w:ascii="Wingdings" w:hAnsi="Wingdings"/>
      </w:rPr>
    </w:lvl>
    <w:lvl w:ilvl="6" w:tplc="53AA03AA">
      <w:start w:val="1"/>
      <w:numFmt w:val="bullet"/>
      <w:lvlText w:val=""/>
      <w:lvlJc w:val="left"/>
      <w:pPr>
        <w:tabs>
          <w:tab w:val="num" w:pos="5040"/>
        </w:tabs>
        <w:ind w:left="5040" w:hanging="360"/>
      </w:pPr>
      <w:rPr>
        <w:rFonts w:ascii="Symbol" w:hAnsi="Symbol"/>
      </w:rPr>
    </w:lvl>
    <w:lvl w:ilvl="7" w:tplc="DFE84782">
      <w:start w:val="1"/>
      <w:numFmt w:val="bullet"/>
      <w:lvlText w:val="o"/>
      <w:lvlJc w:val="left"/>
      <w:pPr>
        <w:tabs>
          <w:tab w:val="num" w:pos="5760"/>
        </w:tabs>
        <w:ind w:left="5760" w:hanging="360"/>
      </w:pPr>
      <w:rPr>
        <w:rFonts w:ascii="Courier New" w:hAnsi="Courier New"/>
      </w:rPr>
    </w:lvl>
    <w:lvl w:ilvl="8" w:tplc="A4F0FE5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27547502">
    <w:abstractNumId w:val="0"/>
  </w:num>
  <w:num w:numId="2" w16cid:durableId="1677271399">
    <w:abstractNumId w:val="1"/>
  </w:num>
  <w:num w:numId="3" w16cid:durableId="203102998">
    <w:abstractNumId w:val="2"/>
  </w:num>
  <w:num w:numId="4" w16cid:durableId="548031973">
    <w:abstractNumId w:val="3"/>
  </w:num>
  <w:num w:numId="5" w16cid:durableId="1965040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7E"/>
    <w:rsid w:val="00663FE8"/>
    <w:rsid w:val="0077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C53E8"/>
  <w15:docId w15:val="{A74FE676-8AAB-2D49-B84A-8F050328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ms.gov/CCIIO/Resources/Regulations-and-Guidance/Downloads/CMS-Transparency-in-Coverage-9915F.pdf" TargetMode="External"/><Relationship Id="rId3" Type="http://schemas.openxmlformats.org/officeDocument/2006/relationships/settings" Target="settings.xml"/><Relationship Id="rId7" Type="http://schemas.openxmlformats.org/officeDocument/2006/relationships/hyperlink" Target="https://www.cms.gov/CCIIO/Resources/Fact-Sheets-and-FAQs/Downloads/FAQs-Part-4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CCIIO/Resources/Regulations-and-Guidance/Downloads/CMS-Transparency-in-Coverage-9915F.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ules.house.gov/sites/democrats.rules.house.gov/files/BILLS-116HR133SA-RCP-116-68.pdf" TargetMode="External"/><Relationship Id="rId4" Type="http://schemas.openxmlformats.org/officeDocument/2006/relationships/webSettings" Target="webSettings.xml"/><Relationship Id="rId9" Type="http://schemas.openxmlformats.org/officeDocument/2006/relationships/hyperlink" Target="https://www.cms.gov/CCIIO/Resources/Fact-Sheets-and-FAQs/Downloads/FAQs-Part-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Meredith B. Jones</cp:lastModifiedBy>
  <cp:revision>2</cp:revision>
  <dcterms:created xsi:type="dcterms:W3CDTF">2022-06-21T14:35:00Z</dcterms:created>
  <dcterms:modified xsi:type="dcterms:W3CDTF">2022-06-21T14:35:00Z</dcterms:modified>
</cp:coreProperties>
</file>